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afterLines="100" w:line="360" w:lineRule="auto"/>
        <w:jc w:val="center"/>
        <w:rPr>
          <w:rFonts w:ascii="仿宋" w:hAnsi="仿宋" w:eastAsia="仿宋"/>
          <w:b/>
          <w:spacing w:val="20"/>
          <w:kern w:val="28"/>
          <w:sz w:val="36"/>
          <w:szCs w:val="36"/>
        </w:rPr>
      </w:pPr>
      <w:r>
        <w:rPr>
          <w:rFonts w:hint="eastAsia" w:ascii="仿宋" w:hAnsi="仿宋" w:eastAsia="仿宋"/>
          <w:b/>
          <w:spacing w:val="20"/>
          <w:kern w:val="28"/>
          <w:sz w:val="36"/>
          <w:szCs w:val="36"/>
        </w:rPr>
        <w:t>关于举办“</w:t>
      </w:r>
      <w:r>
        <w:rPr>
          <w:rFonts w:hint="eastAsia" w:ascii="仿宋" w:hAnsi="仿宋" w:eastAsia="仿宋"/>
          <w:b/>
          <w:spacing w:val="20"/>
          <w:kern w:val="28"/>
          <w:sz w:val="36"/>
          <w:szCs w:val="36"/>
          <w:lang w:val="en-US" w:eastAsia="zh-CN"/>
        </w:rPr>
        <w:t>2024年</w:t>
      </w:r>
      <w:r>
        <w:rPr>
          <w:rFonts w:hint="eastAsia" w:ascii="仿宋" w:hAnsi="仿宋" w:eastAsia="仿宋"/>
          <w:b/>
          <w:spacing w:val="20"/>
          <w:kern w:val="28"/>
          <w:sz w:val="36"/>
          <w:szCs w:val="36"/>
        </w:rPr>
        <w:t>北京信息科技大学</w:t>
      </w:r>
      <w:r>
        <w:rPr>
          <w:rFonts w:hint="eastAsia" w:ascii="仿宋" w:hAnsi="仿宋" w:eastAsia="仿宋"/>
          <w:b/>
          <w:spacing w:val="20"/>
          <w:kern w:val="28"/>
          <w:sz w:val="36"/>
          <w:szCs w:val="36"/>
          <w:lang w:eastAsia="zh-CN"/>
        </w:rPr>
        <w:t>本科</w:t>
      </w:r>
      <w:r>
        <w:rPr>
          <w:rFonts w:hint="eastAsia" w:ascii="仿宋" w:hAnsi="仿宋" w:eastAsia="仿宋"/>
          <w:b/>
          <w:spacing w:val="20"/>
          <w:kern w:val="28"/>
          <w:sz w:val="36"/>
          <w:szCs w:val="36"/>
        </w:rPr>
        <w:t>毕业生培养质量评价报告”解读会的通知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各教学单位及相关部门：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近年来，我校委托麦可思公司开展了应届毕业生、中长期毕业生的培养质量调研工作，并形成了系列调研报告。为了帮助学校深入理解报告中的指标和数据，聚焦人才培养，指导学校将调研数据应用于培养定位、培养目标、课程与教学改进、就业与职业发展、在校体验等方面（报告解读内容概要见附件1），拟邀请麦可思公司专家（见附件2）对我校调研报告进行解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2" w:firstLineChars="200"/>
        <w:textAlignment w:val="auto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一、会议时间及地点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会议时间：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10</w:t>
      </w:r>
      <w:r>
        <w:rPr>
          <w:rFonts w:hint="eastAsia" w:ascii="仿宋" w:hAnsi="仿宋" w:eastAsia="仿宋" w:cs="仿宋"/>
          <w:sz w:val="30"/>
          <w:szCs w:val="30"/>
        </w:rPr>
        <w:t>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21</w:t>
      </w:r>
      <w:r>
        <w:rPr>
          <w:rFonts w:hint="eastAsia" w:ascii="仿宋" w:hAnsi="仿宋" w:eastAsia="仿宋" w:cs="仿宋"/>
          <w:sz w:val="30"/>
          <w:szCs w:val="30"/>
        </w:rPr>
        <w:t>日（周一）下午3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:3</w:t>
      </w:r>
      <w:bookmarkStart w:id="1" w:name="_GoBack"/>
      <w:bookmarkEnd w:id="1"/>
      <w:r>
        <w:rPr>
          <w:rFonts w:hint="eastAsia" w:ascii="仿宋" w:hAnsi="仿宋" w:eastAsia="仿宋" w:cs="仿宋"/>
          <w:sz w:val="30"/>
          <w:szCs w:val="30"/>
        </w:rPr>
        <w:t>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会议地点：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沙河校区立德楼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603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2" w:firstLineChars="200"/>
        <w:textAlignment w:val="auto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二、参会人员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校本科教学督导组成员，教务处、学生处、招就处负责人，各教学单位院长、分管本科教学和学生工作负责人、学院教学督导组代表、专业负责人、系主任、</w:t>
      </w:r>
      <w:r>
        <w:rPr>
          <w:rFonts w:hint="eastAsia" w:ascii="仿宋" w:hAnsi="仿宋" w:eastAsia="仿宋" w:cs="仿宋"/>
          <w:sz w:val="30"/>
          <w:szCs w:val="30"/>
          <w:highlight w:val="none"/>
        </w:rPr>
        <w:t>实验</w:t>
      </w:r>
      <w:r>
        <w:rPr>
          <w:rFonts w:hint="eastAsia" w:ascii="仿宋" w:hAnsi="仿宋" w:eastAsia="仿宋" w:cs="仿宋"/>
          <w:sz w:val="30"/>
          <w:szCs w:val="30"/>
          <w:highlight w:val="none"/>
          <w:lang w:eastAsia="zh-CN"/>
        </w:rPr>
        <w:t>教学中心主任</w:t>
      </w:r>
      <w:r>
        <w:rPr>
          <w:rFonts w:hint="eastAsia" w:ascii="仿宋" w:hAnsi="仿宋" w:eastAsia="仿宋" w:cs="仿宋"/>
          <w:sz w:val="30"/>
          <w:szCs w:val="30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2" w:firstLineChars="200"/>
        <w:textAlignment w:val="auto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三、有关要求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1.请各单位按照会议要求做好组织工作（参会人员分配名额见附件3），并于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10</w:t>
      </w:r>
      <w:r>
        <w:rPr>
          <w:rFonts w:hint="eastAsia" w:ascii="仿宋" w:hAnsi="仿宋" w:eastAsia="仿宋" w:cs="仿宋"/>
          <w:sz w:val="30"/>
          <w:szCs w:val="30"/>
        </w:rPr>
        <w:t>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18</w:t>
      </w:r>
      <w:r>
        <w:rPr>
          <w:rFonts w:hint="eastAsia" w:ascii="仿宋" w:hAnsi="仿宋" w:eastAsia="仿宋" w:cs="仿宋"/>
          <w:sz w:val="30"/>
          <w:szCs w:val="30"/>
        </w:rPr>
        <w:t>日下班前将参会人员名单（见附件4）电子版报教务处。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2.参会人员请提前10分钟入场，会议期间关闭手机或将手机调到震动状态。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联 系 人：白  菁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陈晓蓉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邮    箱：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chenxr</w:t>
      </w:r>
      <w:r>
        <w:rPr>
          <w:rFonts w:hint="eastAsia" w:ascii="仿宋" w:hAnsi="仿宋" w:eastAsia="仿宋" w:cs="仿宋"/>
          <w:sz w:val="30"/>
          <w:szCs w:val="30"/>
        </w:rPr>
        <w:t>@bistu.edu.cn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联系电话：80187177 </w:t>
      </w:r>
    </w:p>
    <w:p>
      <w:pPr>
        <w:spacing w:line="240" w:lineRule="auto"/>
        <w:ind w:firstLine="435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Cs w:val="21"/>
        </w:rPr>
        <w:t xml:space="preserve">                                                              </w:t>
      </w:r>
      <w:r>
        <w:rPr>
          <w:rFonts w:hint="eastAsia" w:ascii="仿宋" w:hAnsi="仿宋" w:eastAsia="仿宋"/>
          <w:sz w:val="28"/>
          <w:szCs w:val="28"/>
        </w:rPr>
        <w:t>教务处</w:t>
      </w:r>
    </w:p>
    <w:p>
      <w:pPr>
        <w:spacing w:line="240" w:lineRule="auto"/>
        <w:ind w:firstLine="435"/>
        <w:rPr>
          <w:rFonts w:ascii="仿宋" w:hAnsi="仿宋" w:eastAsia="仿宋"/>
          <w:szCs w:val="21"/>
        </w:rPr>
        <w:sectPr>
          <w:headerReference r:id="rId3" w:type="default"/>
          <w:pgSz w:w="11906" w:h="16838"/>
          <w:pgMar w:top="567" w:right="1134" w:bottom="567" w:left="1134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szCs w:val="21"/>
        </w:rPr>
        <w:t xml:space="preserve">                                               </w:t>
      </w:r>
      <w:r>
        <w:rPr>
          <w:rFonts w:hint="eastAsia" w:ascii="仿宋" w:hAnsi="仿宋" w:eastAsia="仿宋"/>
          <w:sz w:val="28"/>
          <w:szCs w:val="28"/>
        </w:rPr>
        <w:t xml:space="preserve">              </w:t>
      </w:r>
      <w:r>
        <w:rPr>
          <w:rFonts w:ascii="仿宋" w:hAnsi="仿宋" w:eastAsia="仿宋"/>
          <w:sz w:val="28"/>
          <w:szCs w:val="28"/>
        </w:rPr>
        <w:t>20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24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spacing w:line="480" w:lineRule="exact"/>
        <w:rPr>
          <w:rFonts w:hint="eastAsia" w:ascii="黑体" w:hAnsi="黑体" w:eastAsia="黑体" w:cstheme="majorEastAsia"/>
          <w:sz w:val="36"/>
          <w:szCs w:val="36"/>
        </w:rPr>
      </w:pPr>
      <w:r>
        <w:rPr>
          <w:rFonts w:hint="eastAsia" w:ascii="仿宋" w:hAnsi="仿宋" w:eastAsia="仿宋" w:cstheme="majorEastAsia"/>
          <w:sz w:val="28"/>
          <w:szCs w:val="28"/>
        </w:rPr>
        <w:t xml:space="preserve">附件1：                </w:t>
      </w:r>
      <w:r>
        <w:rPr>
          <w:rFonts w:hint="eastAsia" w:ascii="黑体" w:hAnsi="黑体" w:eastAsia="黑体" w:cstheme="majorEastAsia"/>
          <w:b/>
          <w:sz w:val="36"/>
          <w:szCs w:val="36"/>
        </w:rPr>
        <w:t>报告</w:t>
      </w:r>
      <w:r>
        <w:rPr>
          <w:rFonts w:ascii="黑体" w:hAnsi="黑体" w:eastAsia="黑体" w:cstheme="majorEastAsia"/>
          <w:b/>
          <w:sz w:val="36"/>
          <w:szCs w:val="36"/>
        </w:rPr>
        <w:t>解读</w:t>
      </w:r>
      <w:r>
        <w:rPr>
          <w:rFonts w:hint="eastAsia" w:ascii="黑体" w:hAnsi="黑体" w:eastAsia="黑体" w:cstheme="majorEastAsia"/>
          <w:b/>
          <w:sz w:val="36"/>
          <w:szCs w:val="36"/>
        </w:rPr>
        <w:t>内容概要</w:t>
      </w:r>
    </w:p>
    <w:p>
      <w:pPr>
        <w:snapToGrid w:val="0"/>
        <w:spacing w:before="156" w:beforeLines="50" w:line="307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次解读根据毕业生培养质量与职业发展评价，总结学校目前面临的主要问题，并用数据剖析问题存在的原因，为学校管理决策和持续优化提供数据支持；同时介绍常态监测体系在本科教育教学审核评估整改阶段的作用，从而更好地服务学校整改过程中数据支持等工作。本次解读内容主要包括：</w:t>
      </w:r>
    </w:p>
    <w:p>
      <w:pPr>
        <w:pStyle w:val="19"/>
        <w:numPr>
          <w:ilvl w:val="0"/>
          <w:numId w:val="1"/>
        </w:numPr>
        <w:snapToGrid w:val="0"/>
        <w:spacing w:line="307" w:lineRule="auto"/>
        <w:ind w:left="0" w:firstLine="562"/>
        <w:jc w:val="left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背景介绍</w:t>
      </w:r>
    </w:p>
    <w:p>
      <w:pPr>
        <w:pStyle w:val="19"/>
        <w:numPr>
          <w:ilvl w:val="0"/>
          <w:numId w:val="2"/>
        </w:numPr>
        <w:snapToGrid w:val="0"/>
        <w:spacing w:line="307" w:lineRule="auto"/>
        <w:ind w:left="283" w:leftChars="135" w:firstLine="56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评价理念</w:t>
      </w:r>
    </w:p>
    <w:p>
      <w:pPr>
        <w:pStyle w:val="19"/>
        <w:numPr>
          <w:ilvl w:val="0"/>
          <w:numId w:val="2"/>
        </w:numPr>
        <w:snapToGrid w:val="0"/>
        <w:spacing w:line="307" w:lineRule="auto"/>
        <w:ind w:left="283" w:leftChars="135" w:firstLine="56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样本说明</w:t>
      </w:r>
    </w:p>
    <w:p>
      <w:pPr>
        <w:pStyle w:val="19"/>
        <w:numPr>
          <w:ilvl w:val="0"/>
          <w:numId w:val="1"/>
        </w:numPr>
        <w:snapToGrid w:val="0"/>
        <w:spacing w:line="307" w:lineRule="auto"/>
        <w:ind w:left="0" w:firstLine="562"/>
        <w:jc w:val="left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聚焦培养问题与改进</w:t>
      </w:r>
    </w:p>
    <w:p>
      <w:pPr>
        <w:pStyle w:val="19"/>
        <w:snapToGrid w:val="0"/>
        <w:spacing w:line="307" w:lineRule="auto"/>
        <w:ind w:left="845" w:firstLine="0" w:firstLineChars="0"/>
        <w:jc w:val="left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（一）培养目标达成度</w:t>
      </w:r>
    </w:p>
    <w:p>
      <w:pPr>
        <w:pStyle w:val="19"/>
        <w:numPr>
          <w:ilvl w:val="0"/>
          <w:numId w:val="3"/>
        </w:numPr>
        <w:snapToGrid w:val="0"/>
        <w:spacing w:line="307" w:lineRule="auto"/>
        <w:ind w:left="283" w:leftChars="135" w:firstLine="56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服务领域情况</w:t>
      </w:r>
    </w:p>
    <w:p>
      <w:pPr>
        <w:pStyle w:val="19"/>
        <w:numPr>
          <w:ilvl w:val="0"/>
          <w:numId w:val="3"/>
        </w:numPr>
        <w:snapToGrid w:val="0"/>
        <w:spacing w:line="307" w:lineRule="auto"/>
        <w:ind w:left="283" w:leftChars="135" w:firstLine="56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能力素养达成</w:t>
      </w:r>
    </w:p>
    <w:p>
      <w:pPr>
        <w:pStyle w:val="19"/>
        <w:snapToGrid w:val="0"/>
        <w:spacing w:line="307" w:lineRule="auto"/>
        <w:ind w:left="845" w:firstLine="0" w:firstLineChars="0"/>
        <w:jc w:val="left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（二）社会需求适应度</w:t>
      </w:r>
    </w:p>
    <w:p>
      <w:pPr>
        <w:pStyle w:val="19"/>
        <w:numPr>
          <w:ilvl w:val="0"/>
          <w:numId w:val="4"/>
        </w:numPr>
        <w:snapToGrid w:val="0"/>
        <w:spacing w:line="307" w:lineRule="auto"/>
        <w:ind w:left="283" w:leftChars="135" w:firstLine="56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就业质量</w:t>
      </w:r>
    </w:p>
    <w:p>
      <w:pPr>
        <w:pStyle w:val="19"/>
        <w:numPr>
          <w:ilvl w:val="0"/>
          <w:numId w:val="4"/>
        </w:numPr>
        <w:snapToGrid w:val="0"/>
        <w:spacing w:line="307" w:lineRule="auto"/>
        <w:ind w:left="283" w:leftChars="135" w:firstLine="56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职业发展</w:t>
      </w:r>
    </w:p>
    <w:p>
      <w:pPr>
        <w:pStyle w:val="19"/>
        <w:snapToGrid w:val="0"/>
        <w:spacing w:line="307" w:lineRule="auto"/>
        <w:ind w:left="845" w:firstLine="0" w:firstLineChars="0"/>
        <w:jc w:val="left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（三）教学与师资保障</w:t>
      </w:r>
    </w:p>
    <w:p>
      <w:pPr>
        <w:pStyle w:val="19"/>
        <w:numPr>
          <w:ilvl w:val="0"/>
          <w:numId w:val="5"/>
        </w:numPr>
        <w:snapToGrid w:val="0"/>
        <w:spacing w:line="307" w:lineRule="auto"/>
        <w:ind w:left="283" w:leftChars="135" w:firstLine="560"/>
        <w:jc w:val="left"/>
        <w:rPr>
          <w:rFonts w:hint="eastAsia" w:ascii="仿宋" w:hAnsi="仿宋" w:eastAsia="仿宋"/>
          <w:sz w:val="28"/>
          <w:szCs w:val="28"/>
        </w:rPr>
      </w:pPr>
      <w:bookmarkStart w:id="0" w:name="_Hlk75337708"/>
      <w:r>
        <w:rPr>
          <w:rFonts w:hint="eastAsia" w:ascii="仿宋" w:hAnsi="仿宋" w:eastAsia="仿宋"/>
          <w:sz w:val="28"/>
          <w:szCs w:val="28"/>
        </w:rPr>
        <w:t>教学满意度与教学改进</w:t>
      </w:r>
    </w:p>
    <w:p>
      <w:pPr>
        <w:pStyle w:val="19"/>
        <w:numPr>
          <w:ilvl w:val="0"/>
          <w:numId w:val="5"/>
        </w:numPr>
        <w:snapToGrid w:val="0"/>
        <w:spacing w:line="307" w:lineRule="auto"/>
        <w:ind w:left="283" w:leftChars="135" w:firstLine="56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课程评价（专业核心课程设置和培养质量）</w:t>
      </w:r>
    </w:p>
    <w:p>
      <w:pPr>
        <w:pStyle w:val="19"/>
        <w:numPr>
          <w:ilvl w:val="0"/>
          <w:numId w:val="5"/>
        </w:numPr>
        <w:snapToGrid w:val="0"/>
        <w:spacing w:line="307" w:lineRule="auto"/>
        <w:ind w:left="283" w:leftChars="135" w:firstLine="56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教师指导评价</w:t>
      </w:r>
    </w:p>
    <w:bookmarkEnd w:id="0"/>
    <w:p>
      <w:pPr>
        <w:pStyle w:val="19"/>
        <w:snapToGrid w:val="0"/>
        <w:spacing w:line="307" w:lineRule="auto"/>
        <w:ind w:left="845" w:firstLine="0" w:firstLineChars="0"/>
        <w:jc w:val="left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（四）学生满意度</w:t>
      </w:r>
    </w:p>
    <w:p>
      <w:pPr>
        <w:pStyle w:val="19"/>
        <w:numPr>
          <w:ilvl w:val="0"/>
          <w:numId w:val="6"/>
        </w:numPr>
        <w:snapToGrid w:val="0"/>
        <w:spacing w:line="307" w:lineRule="auto"/>
        <w:ind w:left="283" w:leftChars="135" w:firstLine="56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校友推荐度与满意度</w:t>
      </w:r>
    </w:p>
    <w:p>
      <w:pPr>
        <w:pStyle w:val="19"/>
        <w:numPr>
          <w:ilvl w:val="0"/>
          <w:numId w:val="6"/>
        </w:numPr>
        <w:snapToGrid w:val="0"/>
        <w:spacing w:line="307" w:lineRule="auto"/>
        <w:ind w:left="283" w:leftChars="135" w:firstLine="56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生活服务评价</w:t>
      </w:r>
    </w:p>
    <w:p>
      <w:pPr>
        <w:rPr>
          <w:rFonts w:hint="eastAsia" w:ascii="仿宋" w:hAnsi="仿宋" w:eastAsia="仿宋" w:cstheme="majorEastAsia"/>
          <w:sz w:val="28"/>
          <w:szCs w:val="28"/>
        </w:rPr>
      </w:pPr>
    </w:p>
    <w:p>
      <w:pPr>
        <w:rPr>
          <w:rFonts w:hint="eastAsia" w:ascii="仿宋" w:hAnsi="仿宋" w:eastAsia="仿宋" w:cstheme="majorEastAsia"/>
          <w:sz w:val="28"/>
          <w:szCs w:val="28"/>
        </w:rPr>
        <w:sectPr>
          <w:headerReference r:id="rId4" w:type="default"/>
          <w:pgSz w:w="11906" w:h="16838"/>
          <w:pgMar w:top="1440" w:right="1418" w:bottom="1440" w:left="1418" w:header="851" w:footer="992" w:gutter="0"/>
          <w:cols w:space="425" w:num="1"/>
          <w:docGrid w:type="lines" w:linePitch="312" w:charSpace="0"/>
        </w:sectPr>
      </w:pPr>
    </w:p>
    <w:p>
      <w:pPr>
        <w:rPr>
          <w:rFonts w:ascii="仿宋" w:hAnsi="仿宋" w:eastAsia="仿宋" w:cstheme="majorEastAsia"/>
          <w:sz w:val="28"/>
          <w:szCs w:val="28"/>
        </w:rPr>
      </w:pPr>
      <w:r>
        <w:rPr>
          <w:rFonts w:hint="eastAsia" w:ascii="仿宋" w:hAnsi="仿宋" w:eastAsia="仿宋" w:cstheme="majorEastAsia"/>
          <w:sz w:val="28"/>
          <w:szCs w:val="28"/>
        </w:rPr>
        <w:t xml:space="preserve">附件2： </w:t>
      </w:r>
    </w:p>
    <w:p>
      <w:pPr>
        <w:jc w:val="center"/>
        <w:rPr>
          <w:rFonts w:hint="eastAsia" w:ascii="仿宋" w:hAnsi="仿宋" w:eastAsia="仿宋" w:cstheme="majorEastAsia"/>
          <w:b/>
          <w:sz w:val="28"/>
          <w:szCs w:val="28"/>
        </w:rPr>
      </w:pPr>
      <w:r>
        <w:rPr>
          <w:rFonts w:hint="eastAsia" w:ascii="黑体" w:hAnsi="黑体" w:eastAsia="黑体" w:cstheme="majorEastAsia"/>
          <w:b/>
          <w:sz w:val="36"/>
          <w:szCs w:val="36"/>
        </w:rPr>
        <w:t>报告解读专家简介</w:t>
      </w:r>
    </w:p>
    <w:p>
      <w:pPr>
        <w:spacing w:before="156" w:beforeLines="50" w:line="329" w:lineRule="auto"/>
        <w:jc w:val="center"/>
        <w:rPr>
          <w:rFonts w:hint="eastAsia" w:ascii="仿宋" w:hAnsi="仿宋" w:eastAsia="仿宋" w:cs="Arial"/>
          <w:sz w:val="24"/>
        </w:rPr>
      </w:pPr>
      <w:r>
        <w:drawing>
          <wp:inline distT="0" distB="0" distL="0" distR="0">
            <wp:extent cx="1539875" cy="1978660"/>
            <wp:effectExtent l="0" t="0" r="3175" b="2540"/>
            <wp:docPr id="2" name="图片 1" descr="C:\Users\jihongjun\Documents\QQEIM Files\2850969844\FileRecv\SY_0311_1547_Z_8007_ZYH_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C:\Users\jihongjun\Documents\QQEIM Files\2850969844\FileRecv\SY_0311_1547_Z_8007_ZYH_035.jpg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9875" cy="197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 w:beforeLines="50" w:line="329" w:lineRule="auto"/>
        <w:ind w:firstLine="560" w:firstLineChars="200"/>
        <w:rPr>
          <w:rFonts w:hint="eastAsia" w:ascii="仿宋" w:hAnsi="仿宋" w:eastAsia="仿宋" w:cstheme="majorEastAsia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王丽，麦可思数据挖掘总监。《中国大学生就业报告》（就业蓝皮书）撰稿人之一。为江苏省评估院、北京协和医院等提供数据分析相关培训，麦可思质量监测产品主要开发人之一，在高等教育数据分析方面有丰富经验。</w:t>
      </w:r>
    </w:p>
    <w:p>
      <w:pPr>
        <w:spacing w:before="156" w:beforeLines="50" w:after="312" w:afterLines="100" w:line="480" w:lineRule="exact"/>
        <w:rPr>
          <w:rFonts w:hint="eastAsia" w:ascii="仿宋" w:hAnsi="仿宋" w:eastAsia="仿宋" w:cstheme="majorEastAsia"/>
          <w:sz w:val="28"/>
          <w:szCs w:val="28"/>
        </w:rPr>
      </w:pPr>
    </w:p>
    <w:p>
      <w:pPr>
        <w:spacing w:before="156" w:beforeLines="50" w:after="312" w:afterLines="100" w:line="480" w:lineRule="exact"/>
        <w:rPr>
          <w:rFonts w:hint="eastAsia" w:ascii="仿宋" w:hAnsi="仿宋" w:eastAsia="仿宋" w:cstheme="majorEastAsia"/>
          <w:sz w:val="28"/>
          <w:szCs w:val="28"/>
        </w:rPr>
      </w:pPr>
    </w:p>
    <w:p>
      <w:pPr>
        <w:spacing w:before="156" w:beforeLines="50" w:after="312" w:afterLines="100" w:line="480" w:lineRule="exact"/>
        <w:rPr>
          <w:rFonts w:hint="eastAsia" w:ascii="仿宋" w:hAnsi="仿宋" w:eastAsia="仿宋" w:cstheme="majorEastAsia"/>
          <w:sz w:val="28"/>
          <w:szCs w:val="28"/>
        </w:rPr>
      </w:pPr>
    </w:p>
    <w:p>
      <w:pPr>
        <w:spacing w:before="156" w:beforeLines="50" w:after="312" w:afterLines="100" w:line="480" w:lineRule="exact"/>
        <w:rPr>
          <w:rFonts w:hint="eastAsia" w:ascii="仿宋" w:hAnsi="仿宋" w:eastAsia="仿宋" w:cstheme="majorEastAsia"/>
          <w:sz w:val="28"/>
          <w:szCs w:val="28"/>
        </w:rPr>
      </w:pPr>
    </w:p>
    <w:p>
      <w:pPr>
        <w:spacing w:before="156" w:beforeLines="50" w:after="312" w:afterLines="100" w:line="480" w:lineRule="exact"/>
        <w:rPr>
          <w:rFonts w:hint="eastAsia" w:ascii="仿宋" w:hAnsi="仿宋" w:eastAsia="仿宋" w:cstheme="majorEastAsia"/>
          <w:sz w:val="28"/>
          <w:szCs w:val="28"/>
        </w:rPr>
      </w:pPr>
    </w:p>
    <w:p>
      <w:pPr>
        <w:spacing w:before="156" w:beforeLines="50" w:after="312" w:afterLines="100" w:line="480" w:lineRule="exact"/>
        <w:rPr>
          <w:rFonts w:hint="eastAsia" w:ascii="仿宋" w:hAnsi="仿宋" w:eastAsia="仿宋" w:cstheme="majorEastAsia"/>
          <w:sz w:val="28"/>
          <w:szCs w:val="28"/>
        </w:rPr>
      </w:pPr>
    </w:p>
    <w:p>
      <w:pPr>
        <w:spacing w:before="156" w:beforeLines="50" w:after="312" w:afterLines="100" w:line="480" w:lineRule="exact"/>
        <w:rPr>
          <w:rFonts w:hint="eastAsia" w:ascii="仿宋" w:hAnsi="仿宋" w:eastAsia="仿宋" w:cstheme="majorEastAsia"/>
          <w:sz w:val="28"/>
          <w:szCs w:val="28"/>
        </w:rPr>
      </w:pPr>
    </w:p>
    <w:p>
      <w:pPr>
        <w:spacing w:before="156" w:beforeLines="50" w:after="312" w:afterLines="100" w:line="480" w:lineRule="exact"/>
        <w:rPr>
          <w:rFonts w:hint="eastAsia" w:ascii="仿宋" w:hAnsi="仿宋" w:eastAsia="仿宋" w:cstheme="majorEastAsia"/>
          <w:sz w:val="28"/>
          <w:szCs w:val="28"/>
        </w:rPr>
      </w:pPr>
    </w:p>
    <w:p>
      <w:pPr>
        <w:spacing w:before="156" w:beforeLines="50" w:after="312" w:afterLines="100" w:line="480" w:lineRule="exact"/>
        <w:rPr>
          <w:rFonts w:ascii="仿宋" w:hAnsi="仿宋" w:eastAsia="仿宋" w:cstheme="majorEastAsia"/>
          <w:sz w:val="28"/>
          <w:szCs w:val="28"/>
        </w:rPr>
      </w:pPr>
      <w:r>
        <w:rPr>
          <w:rFonts w:hint="eastAsia" w:ascii="仿宋" w:hAnsi="仿宋" w:eastAsia="仿宋" w:cstheme="majorEastAsia"/>
          <w:sz w:val="28"/>
          <w:szCs w:val="28"/>
        </w:rPr>
        <w:t xml:space="preserve">附件3：                   </w:t>
      </w:r>
      <w:r>
        <w:rPr>
          <w:rFonts w:hint="eastAsia" w:ascii="仿宋" w:hAnsi="仿宋" w:eastAsia="仿宋" w:cstheme="majorEastAsia"/>
          <w:b/>
          <w:sz w:val="28"/>
          <w:szCs w:val="28"/>
        </w:rPr>
        <w:t>参会人员分配名额</w:t>
      </w:r>
    </w:p>
    <w:tbl>
      <w:tblPr>
        <w:tblStyle w:val="9"/>
        <w:tblW w:w="70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6"/>
        <w:gridCol w:w="3105"/>
        <w:gridCol w:w="23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6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ascii="仿宋" w:hAnsi="仿宋" w:eastAsia="仿宋" w:cstheme="majorEastAsia"/>
                <w:sz w:val="28"/>
                <w:szCs w:val="28"/>
              </w:rPr>
              <w:br w:type="page"/>
            </w:r>
            <w:r>
              <w:rPr>
                <w:rFonts w:hint="eastAsia" w:ascii="仿宋" w:hAnsi="仿宋" w:eastAsia="仿宋"/>
                <w:sz w:val="28"/>
                <w:szCs w:val="21"/>
              </w:rPr>
              <w:t>序号</w:t>
            </w:r>
          </w:p>
        </w:tc>
        <w:tc>
          <w:tcPr>
            <w:tcW w:w="3105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教学单位</w:t>
            </w:r>
          </w:p>
        </w:tc>
        <w:tc>
          <w:tcPr>
            <w:tcW w:w="2395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参会名额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6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1</w:t>
            </w:r>
          </w:p>
        </w:tc>
        <w:tc>
          <w:tcPr>
            <w:tcW w:w="3105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  <w:t>机电学院</w:t>
            </w:r>
          </w:p>
        </w:tc>
        <w:tc>
          <w:tcPr>
            <w:tcW w:w="2395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6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2</w:t>
            </w:r>
          </w:p>
        </w:tc>
        <w:tc>
          <w:tcPr>
            <w:tcW w:w="310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光电学院</w:t>
            </w:r>
          </w:p>
        </w:tc>
        <w:tc>
          <w:tcPr>
            <w:tcW w:w="239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" w:hAnsi="仿宋" w:eastAsia="仿宋"/>
                <w:sz w:val="2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6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3</w:t>
            </w:r>
          </w:p>
        </w:tc>
        <w:tc>
          <w:tcPr>
            <w:tcW w:w="310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eastAsia="zh-CN"/>
              </w:rPr>
              <w:t>自动化学院</w:t>
            </w:r>
          </w:p>
        </w:tc>
        <w:tc>
          <w:tcPr>
            <w:tcW w:w="239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" w:hAnsi="仿宋" w:eastAsia="仿宋"/>
                <w:sz w:val="2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6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4</w:t>
            </w:r>
          </w:p>
        </w:tc>
        <w:tc>
          <w:tcPr>
            <w:tcW w:w="310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eastAsia="zh-CN"/>
              </w:rPr>
              <w:t>信通学院</w:t>
            </w:r>
          </w:p>
        </w:tc>
        <w:tc>
          <w:tcPr>
            <w:tcW w:w="239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" w:hAnsi="仿宋" w:eastAsia="仿宋"/>
                <w:sz w:val="2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6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5</w:t>
            </w:r>
          </w:p>
        </w:tc>
        <w:tc>
          <w:tcPr>
            <w:tcW w:w="310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eastAsia="zh-CN"/>
              </w:rPr>
              <w:t>计算机学院</w:t>
            </w:r>
          </w:p>
        </w:tc>
        <w:tc>
          <w:tcPr>
            <w:tcW w:w="239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" w:hAnsi="仿宋" w:eastAsia="仿宋"/>
                <w:sz w:val="2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6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6</w:t>
            </w:r>
          </w:p>
        </w:tc>
        <w:tc>
          <w:tcPr>
            <w:tcW w:w="310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eastAsia="zh-CN"/>
              </w:rPr>
              <w:t>管理学院</w:t>
            </w:r>
          </w:p>
        </w:tc>
        <w:tc>
          <w:tcPr>
            <w:tcW w:w="239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" w:hAnsi="仿宋" w:eastAsia="仿宋"/>
                <w:sz w:val="2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6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7</w:t>
            </w:r>
          </w:p>
        </w:tc>
        <w:tc>
          <w:tcPr>
            <w:tcW w:w="310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eastAsia="zh-CN"/>
              </w:rPr>
              <w:t>商学院</w:t>
            </w:r>
          </w:p>
        </w:tc>
        <w:tc>
          <w:tcPr>
            <w:tcW w:w="239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" w:hAnsi="仿宋" w:eastAsia="仿宋"/>
                <w:sz w:val="2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6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8</w:t>
            </w:r>
          </w:p>
        </w:tc>
        <w:tc>
          <w:tcPr>
            <w:tcW w:w="310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lang w:eastAsia="zh-CN"/>
              </w:rPr>
              <w:t>马院</w:t>
            </w:r>
          </w:p>
        </w:tc>
        <w:tc>
          <w:tcPr>
            <w:tcW w:w="239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8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6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9</w:t>
            </w:r>
          </w:p>
        </w:tc>
        <w:tc>
          <w:tcPr>
            <w:tcW w:w="310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lang w:eastAsia="zh-CN"/>
              </w:rPr>
              <w:t>公管传媒学院</w:t>
            </w:r>
          </w:p>
        </w:tc>
        <w:tc>
          <w:tcPr>
            <w:tcW w:w="2395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6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10</w:t>
            </w:r>
          </w:p>
        </w:tc>
        <w:tc>
          <w:tcPr>
            <w:tcW w:w="310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lang w:eastAsia="zh-CN"/>
              </w:rPr>
              <w:t>外语学院</w:t>
            </w:r>
          </w:p>
        </w:tc>
        <w:tc>
          <w:tcPr>
            <w:tcW w:w="239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8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6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11</w:t>
            </w:r>
          </w:p>
        </w:tc>
        <w:tc>
          <w:tcPr>
            <w:tcW w:w="310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lang w:eastAsia="zh-CN"/>
              </w:rPr>
              <w:t>理学院</w:t>
            </w:r>
          </w:p>
        </w:tc>
        <w:tc>
          <w:tcPr>
            <w:tcW w:w="239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" w:hAnsi="仿宋" w:eastAsia="仿宋"/>
                <w:sz w:val="2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6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12</w:t>
            </w:r>
          </w:p>
        </w:tc>
        <w:tc>
          <w:tcPr>
            <w:tcW w:w="310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highlight w:val="none"/>
                <w:lang w:val="en-US" w:eastAsia="zh-CN" w:bidi="ar-SA"/>
              </w:rPr>
              <w:t>荣誉学院</w:t>
            </w:r>
          </w:p>
        </w:tc>
        <w:tc>
          <w:tcPr>
            <w:tcW w:w="239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8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6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13</w:t>
            </w:r>
          </w:p>
        </w:tc>
        <w:tc>
          <w:tcPr>
            <w:tcW w:w="310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  <w:t>应技学院</w:t>
            </w:r>
          </w:p>
        </w:tc>
        <w:tc>
          <w:tcPr>
            <w:tcW w:w="239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6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14</w:t>
            </w:r>
          </w:p>
        </w:tc>
        <w:tc>
          <w:tcPr>
            <w:tcW w:w="310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  <w:t>国际交流学院</w:t>
            </w:r>
          </w:p>
        </w:tc>
        <w:tc>
          <w:tcPr>
            <w:tcW w:w="239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8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6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15</w:t>
            </w:r>
          </w:p>
        </w:tc>
        <w:tc>
          <w:tcPr>
            <w:tcW w:w="310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体育部</w:t>
            </w:r>
          </w:p>
        </w:tc>
        <w:tc>
          <w:tcPr>
            <w:tcW w:w="239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8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2</w:t>
            </w:r>
          </w:p>
        </w:tc>
      </w:tr>
    </w:tbl>
    <w:p>
      <w:pPr>
        <w:widowControl/>
        <w:jc w:val="left"/>
        <w:rPr>
          <w:rFonts w:ascii="仿宋" w:hAnsi="仿宋" w:eastAsia="仿宋" w:cstheme="majorEastAsia"/>
          <w:sz w:val="28"/>
          <w:szCs w:val="28"/>
        </w:rPr>
      </w:pPr>
    </w:p>
    <w:p>
      <w:pPr>
        <w:widowControl/>
        <w:jc w:val="left"/>
        <w:rPr>
          <w:rFonts w:ascii="仿宋" w:hAnsi="仿宋" w:eastAsia="仿宋" w:cstheme="majorEastAsia"/>
          <w:sz w:val="28"/>
          <w:szCs w:val="28"/>
        </w:rPr>
      </w:pPr>
      <w:r>
        <w:rPr>
          <w:rFonts w:ascii="仿宋" w:hAnsi="仿宋" w:eastAsia="仿宋" w:cstheme="majorEastAsia"/>
          <w:sz w:val="28"/>
          <w:szCs w:val="28"/>
        </w:rPr>
        <w:br w:type="page"/>
      </w:r>
    </w:p>
    <w:p>
      <w:pPr>
        <w:spacing w:before="156" w:beforeLines="50" w:after="312" w:afterLines="100" w:line="480" w:lineRule="exact"/>
        <w:jc w:val="left"/>
        <w:rPr>
          <w:rFonts w:ascii="仿宋" w:hAnsi="仿宋" w:eastAsia="仿宋" w:cstheme="majorEastAsia"/>
          <w:b/>
          <w:sz w:val="32"/>
          <w:szCs w:val="28"/>
        </w:rPr>
      </w:pPr>
      <w:r>
        <w:rPr>
          <w:rFonts w:hint="eastAsia" w:ascii="仿宋" w:hAnsi="仿宋" w:eastAsia="仿宋" w:cstheme="majorEastAsia"/>
          <w:sz w:val="28"/>
          <w:szCs w:val="28"/>
        </w:rPr>
        <w:t>附件4：</w:t>
      </w:r>
      <w:r>
        <w:rPr>
          <w:rFonts w:hint="eastAsia" w:ascii="仿宋" w:hAnsi="仿宋" w:eastAsia="仿宋" w:cstheme="majorEastAsia"/>
          <w:b/>
          <w:sz w:val="32"/>
          <w:szCs w:val="28"/>
        </w:rPr>
        <w:t xml:space="preserve">                  参会人员名单</w:t>
      </w:r>
    </w:p>
    <w:p>
      <w:pPr>
        <w:spacing w:before="156" w:beforeLines="50" w:after="312" w:afterLines="100" w:line="480" w:lineRule="exact"/>
        <w:rPr>
          <w:rFonts w:ascii="仿宋" w:hAnsi="仿宋" w:eastAsia="仿宋" w:cstheme="majorEastAsia"/>
          <w:sz w:val="28"/>
          <w:szCs w:val="28"/>
        </w:rPr>
      </w:pPr>
      <w:r>
        <w:rPr>
          <w:rFonts w:hint="eastAsia" w:ascii="仿宋" w:hAnsi="仿宋" w:eastAsia="仿宋" w:cstheme="majorEastAsia"/>
          <w:sz w:val="28"/>
          <w:szCs w:val="28"/>
        </w:rPr>
        <w:t>教学单位：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1"/>
        <w:gridCol w:w="1245"/>
        <w:gridCol w:w="1830"/>
        <w:gridCol w:w="4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联系方式</w:t>
            </w:r>
          </w:p>
        </w:tc>
        <w:tc>
          <w:tcPr>
            <w:tcW w:w="4350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备注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Cs w:val="21"/>
              </w:rPr>
              <w:t>（院长、</w:t>
            </w:r>
            <w:r>
              <w:rPr>
                <w:rFonts w:hint="eastAsia" w:ascii="仿宋" w:hAnsi="仿宋" w:eastAsia="仿宋"/>
                <w:szCs w:val="21"/>
                <w:lang w:eastAsia="zh-CN"/>
              </w:rPr>
              <w:t>学生副书记、教学副院长、</w:t>
            </w:r>
            <w:r>
              <w:rPr>
                <w:rFonts w:hint="eastAsia" w:ascii="仿宋" w:hAnsi="仿宋" w:eastAsia="仿宋"/>
                <w:szCs w:val="21"/>
              </w:rPr>
              <w:t>学院教学督导组代表、专业负责人、系主任、实验</w:t>
            </w:r>
            <w:r>
              <w:rPr>
                <w:rFonts w:hint="eastAsia" w:ascii="仿宋" w:hAnsi="仿宋" w:eastAsia="仿宋"/>
                <w:szCs w:val="21"/>
                <w:lang w:eastAsia="zh-CN"/>
              </w:rPr>
              <w:t>教学中心</w:t>
            </w:r>
            <w:r>
              <w:rPr>
                <w:rFonts w:hint="eastAsia" w:ascii="仿宋" w:hAnsi="仿宋" w:eastAsia="仿宋"/>
                <w:szCs w:val="21"/>
              </w:rPr>
              <w:t>主任）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350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350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350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350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350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350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350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widowControl/>
        <w:jc w:val="left"/>
        <w:rPr>
          <w:rFonts w:ascii="仿宋" w:hAnsi="仿宋" w:eastAsia="仿宋" w:cstheme="majorEastAsia"/>
          <w:sz w:val="28"/>
          <w:szCs w:val="28"/>
        </w:rPr>
      </w:pP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182E8A"/>
    <w:multiLevelType w:val="multilevel"/>
    <w:tmpl w:val="01182E8A"/>
    <w:lvl w:ilvl="0" w:tentative="0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80" w:hanging="420"/>
      </w:pPr>
    </w:lvl>
    <w:lvl w:ilvl="2" w:tentative="0">
      <w:start w:val="1"/>
      <w:numFmt w:val="lowerRoman"/>
      <w:lvlText w:val="%3."/>
      <w:lvlJc w:val="right"/>
      <w:pPr>
        <w:ind w:left="1400" w:hanging="420"/>
      </w:pPr>
    </w:lvl>
    <w:lvl w:ilvl="3" w:tentative="0">
      <w:start w:val="1"/>
      <w:numFmt w:val="decimal"/>
      <w:lvlText w:val="%4."/>
      <w:lvlJc w:val="left"/>
      <w:pPr>
        <w:ind w:left="1820" w:hanging="420"/>
      </w:pPr>
    </w:lvl>
    <w:lvl w:ilvl="4" w:tentative="0">
      <w:start w:val="1"/>
      <w:numFmt w:val="lowerLetter"/>
      <w:lvlText w:val="%5)"/>
      <w:lvlJc w:val="left"/>
      <w:pPr>
        <w:ind w:left="2240" w:hanging="420"/>
      </w:pPr>
    </w:lvl>
    <w:lvl w:ilvl="5" w:tentative="0">
      <w:start w:val="1"/>
      <w:numFmt w:val="lowerRoman"/>
      <w:lvlText w:val="%6."/>
      <w:lvlJc w:val="right"/>
      <w:pPr>
        <w:ind w:left="2660" w:hanging="420"/>
      </w:pPr>
    </w:lvl>
    <w:lvl w:ilvl="6" w:tentative="0">
      <w:start w:val="1"/>
      <w:numFmt w:val="decimal"/>
      <w:lvlText w:val="%7."/>
      <w:lvlJc w:val="left"/>
      <w:pPr>
        <w:ind w:left="3080" w:hanging="420"/>
      </w:pPr>
    </w:lvl>
    <w:lvl w:ilvl="7" w:tentative="0">
      <w:start w:val="1"/>
      <w:numFmt w:val="lowerLetter"/>
      <w:lvlText w:val="%8)"/>
      <w:lvlJc w:val="left"/>
      <w:pPr>
        <w:ind w:left="3500" w:hanging="420"/>
      </w:pPr>
    </w:lvl>
    <w:lvl w:ilvl="8" w:tentative="0">
      <w:start w:val="1"/>
      <w:numFmt w:val="lowerRoman"/>
      <w:lvlText w:val="%9."/>
      <w:lvlJc w:val="right"/>
      <w:pPr>
        <w:ind w:left="3920" w:hanging="420"/>
      </w:pPr>
    </w:lvl>
  </w:abstractNum>
  <w:abstractNum w:abstractNumId="1">
    <w:nsid w:val="088B7B76"/>
    <w:multiLevelType w:val="multilevel"/>
    <w:tmpl w:val="088B7B76"/>
    <w:lvl w:ilvl="0" w:tentative="0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80" w:hanging="420"/>
      </w:pPr>
    </w:lvl>
    <w:lvl w:ilvl="2" w:tentative="0">
      <w:start w:val="1"/>
      <w:numFmt w:val="lowerRoman"/>
      <w:lvlText w:val="%3."/>
      <w:lvlJc w:val="right"/>
      <w:pPr>
        <w:ind w:left="1400" w:hanging="420"/>
      </w:pPr>
    </w:lvl>
    <w:lvl w:ilvl="3" w:tentative="0">
      <w:start w:val="1"/>
      <w:numFmt w:val="decimal"/>
      <w:lvlText w:val="%4."/>
      <w:lvlJc w:val="left"/>
      <w:pPr>
        <w:ind w:left="1820" w:hanging="420"/>
      </w:pPr>
    </w:lvl>
    <w:lvl w:ilvl="4" w:tentative="0">
      <w:start w:val="1"/>
      <w:numFmt w:val="lowerLetter"/>
      <w:lvlText w:val="%5)"/>
      <w:lvlJc w:val="left"/>
      <w:pPr>
        <w:ind w:left="2240" w:hanging="420"/>
      </w:pPr>
    </w:lvl>
    <w:lvl w:ilvl="5" w:tentative="0">
      <w:start w:val="1"/>
      <w:numFmt w:val="lowerRoman"/>
      <w:lvlText w:val="%6."/>
      <w:lvlJc w:val="right"/>
      <w:pPr>
        <w:ind w:left="2660" w:hanging="420"/>
      </w:pPr>
    </w:lvl>
    <w:lvl w:ilvl="6" w:tentative="0">
      <w:start w:val="1"/>
      <w:numFmt w:val="decimal"/>
      <w:lvlText w:val="%7."/>
      <w:lvlJc w:val="left"/>
      <w:pPr>
        <w:ind w:left="3080" w:hanging="420"/>
      </w:pPr>
    </w:lvl>
    <w:lvl w:ilvl="7" w:tentative="0">
      <w:start w:val="1"/>
      <w:numFmt w:val="lowerLetter"/>
      <w:lvlText w:val="%8)"/>
      <w:lvlJc w:val="left"/>
      <w:pPr>
        <w:ind w:left="3500" w:hanging="420"/>
      </w:pPr>
    </w:lvl>
    <w:lvl w:ilvl="8" w:tentative="0">
      <w:start w:val="1"/>
      <w:numFmt w:val="lowerRoman"/>
      <w:lvlText w:val="%9."/>
      <w:lvlJc w:val="right"/>
      <w:pPr>
        <w:ind w:left="3920" w:hanging="420"/>
      </w:pPr>
    </w:lvl>
  </w:abstractNum>
  <w:abstractNum w:abstractNumId="2">
    <w:nsid w:val="1C8E2505"/>
    <w:multiLevelType w:val="multilevel"/>
    <w:tmpl w:val="1C8E2505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12A0CE8"/>
    <w:multiLevelType w:val="multilevel"/>
    <w:tmpl w:val="212A0CE8"/>
    <w:lvl w:ilvl="0" w:tentative="0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80" w:hanging="420"/>
      </w:pPr>
    </w:lvl>
    <w:lvl w:ilvl="2" w:tentative="0">
      <w:start w:val="1"/>
      <w:numFmt w:val="lowerRoman"/>
      <w:lvlText w:val="%3."/>
      <w:lvlJc w:val="right"/>
      <w:pPr>
        <w:ind w:left="1400" w:hanging="420"/>
      </w:pPr>
    </w:lvl>
    <w:lvl w:ilvl="3" w:tentative="0">
      <w:start w:val="1"/>
      <w:numFmt w:val="decimal"/>
      <w:lvlText w:val="%4."/>
      <w:lvlJc w:val="left"/>
      <w:pPr>
        <w:ind w:left="1820" w:hanging="420"/>
      </w:pPr>
    </w:lvl>
    <w:lvl w:ilvl="4" w:tentative="0">
      <w:start w:val="1"/>
      <w:numFmt w:val="lowerLetter"/>
      <w:lvlText w:val="%5)"/>
      <w:lvlJc w:val="left"/>
      <w:pPr>
        <w:ind w:left="2240" w:hanging="420"/>
      </w:pPr>
    </w:lvl>
    <w:lvl w:ilvl="5" w:tentative="0">
      <w:start w:val="1"/>
      <w:numFmt w:val="lowerRoman"/>
      <w:lvlText w:val="%6."/>
      <w:lvlJc w:val="right"/>
      <w:pPr>
        <w:ind w:left="2660" w:hanging="420"/>
      </w:pPr>
    </w:lvl>
    <w:lvl w:ilvl="6" w:tentative="0">
      <w:start w:val="1"/>
      <w:numFmt w:val="decimal"/>
      <w:lvlText w:val="%7."/>
      <w:lvlJc w:val="left"/>
      <w:pPr>
        <w:ind w:left="3080" w:hanging="420"/>
      </w:pPr>
    </w:lvl>
    <w:lvl w:ilvl="7" w:tentative="0">
      <w:start w:val="1"/>
      <w:numFmt w:val="lowerLetter"/>
      <w:lvlText w:val="%8)"/>
      <w:lvlJc w:val="left"/>
      <w:pPr>
        <w:ind w:left="3500" w:hanging="420"/>
      </w:pPr>
    </w:lvl>
    <w:lvl w:ilvl="8" w:tentative="0">
      <w:start w:val="1"/>
      <w:numFmt w:val="lowerRoman"/>
      <w:lvlText w:val="%9."/>
      <w:lvlJc w:val="right"/>
      <w:pPr>
        <w:ind w:left="3920" w:hanging="420"/>
      </w:pPr>
    </w:lvl>
  </w:abstractNum>
  <w:abstractNum w:abstractNumId="4">
    <w:nsid w:val="63CA7973"/>
    <w:multiLevelType w:val="multilevel"/>
    <w:tmpl w:val="63CA7973"/>
    <w:lvl w:ilvl="0" w:tentative="0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80" w:hanging="420"/>
      </w:pPr>
    </w:lvl>
    <w:lvl w:ilvl="2" w:tentative="0">
      <w:start w:val="1"/>
      <w:numFmt w:val="lowerRoman"/>
      <w:lvlText w:val="%3."/>
      <w:lvlJc w:val="right"/>
      <w:pPr>
        <w:ind w:left="1400" w:hanging="420"/>
      </w:pPr>
    </w:lvl>
    <w:lvl w:ilvl="3" w:tentative="0">
      <w:start w:val="1"/>
      <w:numFmt w:val="decimal"/>
      <w:lvlText w:val="%4."/>
      <w:lvlJc w:val="left"/>
      <w:pPr>
        <w:ind w:left="1820" w:hanging="420"/>
      </w:pPr>
    </w:lvl>
    <w:lvl w:ilvl="4" w:tentative="0">
      <w:start w:val="1"/>
      <w:numFmt w:val="lowerLetter"/>
      <w:lvlText w:val="%5)"/>
      <w:lvlJc w:val="left"/>
      <w:pPr>
        <w:ind w:left="2240" w:hanging="420"/>
      </w:pPr>
    </w:lvl>
    <w:lvl w:ilvl="5" w:tentative="0">
      <w:start w:val="1"/>
      <w:numFmt w:val="lowerRoman"/>
      <w:lvlText w:val="%6."/>
      <w:lvlJc w:val="right"/>
      <w:pPr>
        <w:ind w:left="2660" w:hanging="420"/>
      </w:pPr>
    </w:lvl>
    <w:lvl w:ilvl="6" w:tentative="0">
      <w:start w:val="1"/>
      <w:numFmt w:val="decimal"/>
      <w:lvlText w:val="%7."/>
      <w:lvlJc w:val="left"/>
      <w:pPr>
        <w:ind w:left="3080" w:hanging="420"/>
      </w:pPr>
    </w:lvl>
    <w:lvl w:ilvl="7" w:tentative="0">
      <w:start w:val="1"/>
      <w:numFmt w:val="lowerLetter"/>
      <w:lvlText w:val="%8)"/>
      <w:lvlJc w:val="left"/>
      <w:pPr>
        <w:ind w:left="3500" w:hanging="420"/>
      </w:pPr>
    </w:lvl>
    <w:lvl w:ilvl="8" w:tentative="0">
      <w:start w:val="1"/>
      <w:numFmt w:val="lowerRoman"/>
      <w:lvlText w:val="%9."/>
      <w:lvlJc w:val="right"/>
      <w:pPr>
        <w:ind w:left="3920" w:hanging="420"/>
      </w:pPr>
    </w:lvl>
  </w:abstractNum>
  <w:abstractNum w:abstractNumId="5">
    <w:nsid w:val="6BEF7C66"/>
    <w:multiLevelType w:val="multilevel"/>
    <w:tmpl w:val="6BEF7C66"/>
    <w:lvl w:ilvl="0" w:tentative="0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80" w:hanging="420"/>
      </w:pPr>
    </w:lvl>
    <w:lvl w:ilvl="2" w:tentative="0">
      <w:start w:val="1"/>
      <w:numFmt w:val="lowerRoman"/>
      <w:lvlText w:val="%3."/>
      <w:lvlJc w:val="right"/>
      <w:pPr>
        <w:ind w:left="1400" w:hanging="420"/>
      </w:pPr>
    </w:lvl>
    <w:lvl w:ilvl="3" w:tentative="0">
      <w:start w:val="1"/>
      <w:numFmt w:val="decimal"/>
      <w:lvlText w:val="%4."/>
      <w:lvlJc w:val="left"/>
      <w:pPr>
        <w:ind w:left="1820" w:hanging="420"/>
      </w:pPr>
    </w:lvl>
    <w:lvl w:ilvl="4" w:tentative="0">
      <w:start w:val="1"/>
      <w:numFmt w:val="lowerLetter"/>
      <w:lvlText w:val="%5)"/>
      <w:lvlJc w:val="left"/>
      <w:pPr>
        <w:ind w:left="2240" w:hanging="420"/>
      </w:pPr>
    </w:lvl>
    <w:lvl w:ilvl="5" w:tentative="0">
      <w:start w:val="1"/>
      <w:numFmt w:val="lowerRoman"/>
      <w:lvlText w:val="%6."/>
      <w:lvlJc w:val="right"/>
      <w:pPr>
        <w:ind w:left="2660" w:hanging="420"/>
      </w:pPr>
    </w:lvl>
    <w:lvl w:ilvl="6" w:tentative="0">
      <w:start w:val="1"/>
      <w:numFmt w:val="decimal"/>
      <w:lvlText w:val="%7."/>
      <w:lvlJc w:val="left"/>
      <w:pPr>
        <w:ind w:left="3080" w:hanging="420"/>
      </w:pPr>
    </w:lvl>
    <w:lvl w:ilvl="7" w:tentative="0">
      <w:start w:val="1"/>
      <w:numFmt w:val="lowerLetter"/>
      <w:lvlText w:val="%8)"/>
      <w:lvlJc w:val="left"/>
      <w:pPr>
        <w:ind w:left="3500" w:hanging="420"/>
      </w:pPr>
    </w:lvl>
    <w:lvl w:ilvl="8" w:tentative="0">
      <w:start w:val="1"/>
      <w:numFmt w:val="lowerRoman"/>
      <w:lvlText w:val="%9."/>
      <w:lvlJc w:val="right"/>
      <w:pPr>
        <w:ind w:left="3920" w:hanging="42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wYTMyM2FiMmNiOTMyNWFhZDQxMTViMDQyMmM3NzEifQ=="/>
  </w:docVars>
  <w:rsids>
    <w:rsidRoot w:val="00DE4A2E"/>
    <w:rsid w:val="0000664E"/>
    <w:rsid w:val="0000772A"/>
    <w:rsid w:val="00010DBB"/>
    <w:rsid w:val="00053EF8"/>
    <w:rsid w:val="00055D0D"/>
    <w:rsid w:val="00065C55"/>
    <w:rsid w:val="000C1465"/>
    <w:rsid w:val="000C3C54"/>
    <w:rsid w:val="000E0662"/>
    <w:rsid w:val="000E5CE4"/>
    <w:rsid w:val="001016C2"/>
    <w:rsid w:val="00122A42"/>
    <w:rsid w:val="00124A15"/>
    <w:rsid w:val="001431BA"/>
    <w:rsid w:val="001444D0"/>
    <w:rsid w:val="001518A7"/>
    <w:rsid w:val="00163871"/>
    <w:rsid w:val="00186336"/>
    <w:rsid w:val="00192629"/>
    <w:rsid w:val="001D0624"/>
    <w:rsid w:val="001D27E1"/>
    <w:rsid w:val="001E690E"/>
    <w:rsid w:val="00217060"/>
    <w:rsid w:val="00243A3E"/>
    <w:rsid w:val="002458DA"/>
    <w:rsid w:val="0025259F"/>
    <w:rsid w:val="00294C0A"/>
    <w:rsid w:val="002C3929"/>
    <w:rsid w:val="002C4E7B"/>
    <w:rsid w:val="002D29FE"/>
    <w:rsid w:val="002D4305"/>
    <w:rsid w:val="003033B3"/>
    <w:rsid w:val="00315CD7"/>
    <w:rsid w:val="0032174A"/>
    <w:rsid w:val="00325B25"/>
    <w:rsid w:val="0033032D"/>
    <w:rsid w:val="00352205"/>
    <w:rsid w:val="00394E01"/>
    <w:rsid w:val="003B7970"/>
    <w:rsid w:val="003C04DB"/>
    <w:rsid w:val="003E716D"/>
    <w:rsid w:val="00400D61"/>
    <w:rsid w:val="0042723C"/>
    <w:rsid w:val="00430866"/>
    <w:rsid w:val="00452148"/>
    <w:rsid w:val="00452B07"/>
    <w:rsid w:val="0046362F"/>
    <w:rsid w:val="0048664D"/>
    <w:rsid w:val="00487309"/>
    <w:rsid w:val="004A2549"/>
    <w:rsid w:val="004D0B85"/>
    <w:rsid w:val="004D0BF8"/>
    <w:rsid w:val="004D0EDD"/>
    <w:rsid w:val="004D4433"/>
    <w:rsid w:val="004D66B8"/>
    <w:rsid w:val="00510F12"/>
    <w:rsid w:val="00511499"/>
    <w:rsid w:val="00530934"/>
    <w:rsid w:val="00571159"/>
    <w:rsid w:val="005817F0"/>
    <w:rsid w:val="00585DC7"/>
    <w:rsid w:val="00590F55"/>
    <w:rsid w:val="005A330B"/>
    <w:rsid w:val="005D4055"/>
    <w:rsid w:val="005D42F7"/>
    <w:rsid w:val="005E1BEA"/>
    <w:rsid w:val="005E5228"/>
    <w:rsid w:val="0061249B"/>
    <w:rsid w:val="006213E4"/>
    <w:rsid w:val="00630575"/>
    <w:rsid w:val="00632104"/>
    <w:rsid w:val="00645B00"/>
    <w:rsid w:val="006551D6"/>
    <w:rsid w:val="00657AF9"/>
    <w:rsid w:val="00657F96"/>
    <w:rsid w:val="00684E42"/>
    <w:rsid w:val="006A46C1"/>
    <w:rsid w:val="006A4F99"/>
    <w:rsid w:val="006B57AC"/>
    <w:rsid w:val="006C0D3B"/>
    <w:rsid w:val="006C34B9"/>
    <w:rsid w:val="006C40D8"/>
    <w:rsid w:val="007020BD"/>
    <w:rsid w:val="00732BDF"/>
    <w:rsid w:val="00763348"/>
    <w:rsid w:val="0077459D"/>
    <w:rsid w:val="007824A1"/>
    <w:rsid w:val="007855D4"/>
    <w:rsid w:val="0078624A"/>
    <w:rsid w:val="007B1065"/>
    <w:rsid w:val="007B3EF4"/>
    <w:rsid w:val="007B4830"/>
    <w:rsid w:val="007D5F30"/>
    <w:rsid w:val="007E05A4"/>
    <w:rsid w:val="0081780D"/>
    <w:rsid w:val="00820084"/>
    <w:rsid w:val="008613C0"/>
    <w:rsid w:val="0088167B"/>
    <w:rsid w:val="00894281"/>
    <w:rsid w:val="008B725B"/>
    <w:rsid w:val="008D031F"/>
    <w:rsid w:val="008D289F"/>
    <w:rsid w:val="008D4F5E"/>
    <w:rsid w:val="008D5090"/>
    <w:rsid w:val="008F25DA"/>
    <w:rsid w:val="00934E64"/>
    <w:rsid w:val="00994419"/>
    <w:rsid w:val="009B503C"/>
    <w:rsid w:val="009C7E1A"/>
    <w:rsid w:val="009D18A1"/>
    <w:rsid w:val="009E50EC"/>
    <w:rsid w:val="009F7E0C"/>
    <w:rsid w:val="00A3722B"/>
    <w:rsid w:val="00A566F5"/>
    <w:rsid w:val="00AB372D"/>
    <w:rsid w:val="00AB7B08"/>
    <w:rsid w:val="00AD1155"/>
    <w:rsid w:val="00B06B7D"/>
    <w:rsid w:val="00B079A2"/>
    <w:rsid w:val="00B12CF1"/>
    <w:rsid w:val="00B5012F"/>
    <w:rsid w:val="00B70E96"/>
    <w:rsid w:val="00B72775"/>
    <w:rsid w:val="00B862DC"/>
    <w:rsid w:val="00B90D8D"/>
    <w:rsid w:val="00B92EF5"/>
    <w:rsid w:val="00BB34D2"/>
    <w:rsid w:val="00BB7716"/>
    <w:rsid w:val="00BF5623"/>
    <w:rsid w:val="00C1249F"/>
    <w:rsid w:val="00C22A9F"/>
    <w:rsid w:val="00C25C87"/>
    <w:rsid w:val="00C45BC8"/>
    <w:rsid w:val="00C46025"/>
    <w:rsid w:val="00C46F1A"/>
    <w:rsid w:val="00C64301"/>
    <w:rsid w:val="00C7350A"/>
    <w:rsid w:val="00CA7FE2"/>
    <w:rsid w:val="00CB0E46"/>
    <w:rsid w:val="00CB1E2D"/>
    <w:rsid w:val="00CC5464"/>
    <w:rsid w:val="00CE1041"/>
    <w:rsid w:val="00CF63E8"/>
    <w:rsid w:val="00D03E80"/>
    <w:rsid w:val="00D12439"/>
    <w:rsid w:val="00D57BA7"/>
    <w:rsid w:val="00D6089C"/>
    <w:rsid w:val="00D6171A"/>
    <w:rsid w:val="00DC096F"/>
    <w:rsid w:val="00DE48AB"/>
    <w:rsid w:val="00DE4A2E"/>
    <w:rsid w:val="00DE7408"/>
    <w:rsid w:val="00E07F8B"/>
    <w:rsid w:val="00E2020D"/>
    <w:rsid w:val="00E32AE8"/>
    <w:rsid w:val="00E32DEF"/>
    <w:rsid w:val="00E42CCC"/>
    <w:rsid w:val="00E44A0C"/>
    <w:rsid w:val="00E5559A"/>
    <w:rsid w:val="00E97997"/>
    <w:rsid w:val="00EC147C"/>
    <w:rsid w:val="00ED269A"/>
    <w:rsid w:val="00EE519B"/>
    <w:rsid w:val="00F40CF7"/>
    <w:rsid w:val="00F6046D"/>
    <w:rsid w:val="00FB4461"/>
    <w:rsid w:val="00FC7525"/>
    <w:rsid w:val="00FE1E0D"/>
    <w:rsid w:val="129E450E"/>
    <w:rsid w:val="14693371"/>
    <w:rsid w:val="18C85425"/>
    <w:rsid w:val="22630FFD"/>
    <w:rsid w:val="329B4993"/>
    <w:rsid w:val="38F4757D"/>
    <w:rsid w:val="4191292D"/>
    <w:rsid w:val="51751E84"/>
    <w:rsid w:val="5204771F"/>
    <w:rsid w:val="5EFF726B"/>
    <w:rsid w:val="5F2E7BCD"/>
    <w:rsid w:val="744A0979"/>
    <w:rsid w:val="7B0F60A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21"/>
    <w:semiHidden/>
    <w:unhideWhenUsed/>
    <w:qFormat/>
    <w:uiPriority w:val="99"/>
    <w:rPr>
      <w:rFonts w:asciiTheme="minorHAnsi" w:hAnsiTheme="minorHAnsi" w:eastAsiaTheme="minorEastAsia" w:cstheme="minorBidi"/>
      <w:b/>
      <w:bCs/>
      <w:szCs w:val="22"/>
    </w:rPr>
  </w:style>
  <w:style w:type="table" w:styleId="9">
    <w:name w:val="Table Grid"/>
    <w:basedOn w:val="8"/>
    <w:qFormat/>
    <w:uiPriority w:val="5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qFormat/>
    <w:uiPriority w:val="0"/>
    <w:rPr>
      <w:sz w:val="21"/>
      <w:szCs w:val="21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标题 2 字符"/>
    <w:basedOn w:val="10"/>
    <w:link w:val="2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5">
    <w:name w:val="flight_airline"/>
    <w:basedOn w:val="10"/>
    <w:qFormat/>
    <w:uiPriority w:val="0"/>
  </w:style>
  <w:style w:type="character" w:customStyle="1" w:styleId="16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7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8">
    <w:name w:val="批注文字 字符"/>
    <w:basedOn w:val="10"/>
    <w:link w:val="3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_Style 14"/>
    <w:basedOn w:val="1"/>
    <w:next w:val="13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customStyle="1" w:styleId="20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21">
    <w:name w:val="批注主题 字符"/>
    <w:basedOn w:val="18"/>
    <w:link w:val="7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22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249</Words>
  <Characters>1424</Characters>
  <Lines>11</Lines>
  <Paragraphs>3</Paragraphs>
  <TotalTime>0</TotalTime>
  <ScaleCrop>false</ScaleCrop>
  <LinksUpToDate>false</LinksUpToDate>
  <CharactersWithSpaces>1670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2021-06-24T03:27:00Z</dcterms:created>
  <dc:creator>guoyuan</dc:creator>
  <cp:lastModifiedBy>陈晓蓉</cp:lastModifiedBy>
  <dcterms:modified xsi:type="dcterms:W3CDTF">2024-10-18T00:34:49Z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A0D428C1A48E438B895B1E8BC0F8C2B5_13</vt:lpwstr>
  </property>
</Properties>
</file>